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5543E" w14:textId="0A2DF863" w:rsidR="00075975" w:rsidRPr="00D41452" w:rsidRDefault="00075975" w:rsidP="00075975">
      <w:pPr>
        <w:ind w:left="720" w:hanging="720"/>
        <w:rPr>
          <w:b/>
          <w:bCs/>
          <w:sz w:val="28"/>
          <w:szCs w:val="28"/>
        </w:rPr>
      </w:pPr>
      <w:r w:rsidRPr="00075975">
        <w:rPr>
          <w:b/>
          <w:bCs/>
          <w:sz w:val="28"/>
          <w:szCs w:val="28"/>
        </w:rPr>
        <w:t xml:space="preserve">Application of </w:t>
      </w:r>
      <w:r w:rsidRPr="00D41452">
        <w:rPr>
          <w:b/>
          <w:bCs/>
          <w:sz w:val="28"/>
          <w:szCs w:val="28"/>
        </w:rPr>
        <w:t>Quantitative</w:t>
      </w:r>
      <w:r w:rsidRPr="00075975">
        <w:rPr>
          <w:b/>
          <w:bCs/>
          <w:sz w:val="28"/>
          <w:szCs w:val="28"/>
        </w:rPr>
        <w:t xml:space="preserve"> Risk Assessment </w:t>
      </w:r>
      <w:r w:rsidR="005D1631">
        <w:rPr>
          <w:b/>
          <w:bCs/>
          <w:sz w:val="28"/>
          <w:szCs w:val="28"/>
        </w:rPr>
        <w:t xml:space="preserve">for Dam Safety Management </w:t>
      </w:r>
    </w:p>
    <w:p w14:paraId="2EAC18B0" w14:textId="77777777" w:rsidR="00075975" w:rsidRPr="00D41452" w:rsidRDefault="00075975" w:rsidP="00075975">
      <w:pPr>
        <w:pStyle w:val="TxTextindent"/>
        <w:ind w:firstLine="0"/>
        <w:rPr>
          <w:b/>
          <w:bCs/>
        </w:rPr>
      </w:pPr>
      <w:r w:rsidRPr="00D41452">
        <w:rPr>
          <w:b/>
          <w:bCs/>
        </w:rPr>
        <w:t xml:space="preserve">Abstract: </w:t>
      </w:r>
    </w:p>
    <w:p w14:paraId="7C6B5C3E" w14:textId="6B8ACC61" w:rsidR="00075975" w:rsidRDefault="00075975" w:rsidP="00075975">
      <w:pPr>
        <w:pStyle w:val="TxTextindent"/>
      </w:pPr>
      <w:r>
        <w:t xml:space="preserve">Many large dam owners and regulators around the world have recognized that risk-informed decision-making methodologies are an important part of best practices in </w:t>
      </w:r>
      <w:r w:rsidRPr="00C064C5">
        <w:rPr>
          <w:b/>
          <w:bCs/>
        </w:rPr>
        <w:t>dam safety management</w:t>
      </w:r>
      <w:r>
        <w:t>. Alberta Agriculture and Irrigation (AGI), as the major dam owner in the province of Alberta, Canada, makes use of a semi- quantitative Potential Failure Modes and Effects Analysis (PFMEA) methodology for the identification and prioritization of dam safety risks. For selected key failure modes, this is supplemented by a Quantitative Risk Assessment (QRA) methodology. These two approaches provide the basis for AGI’s risk-informed decision making for dam safety. QRA is the highest level of risk analysis for dam safety. It helps dam owners prioritize the use of engineering models and methods and employ structured interaction among experts to achieve a well-documented risk analysis that captures the range of technically defensible interpretations of data, models, and methods used in the risk analysis.</w:t>
      </w:r>
      <w:r w:rsidR="00C8130D">
        <w:t xml:space="preserve"> </w:t>
      </w:r>
    </w:p>
    <w:p w14:paraId="4CE13F1B" w14:textId="453259BB" w:rsidR="00C8130D" w:rsidRPr="00E84913" w:rsidRDefault="00C8130D" w:rsidP="00C8130D">
      <w:pPr>
        <w:pStyle w:val="TxTextindent"/>
      </w:pPr>
      <w:r>
        <w:t>In this p</w:t>
      </w:r>
      <w:r w:rsidR="00CF7CE2">
        <w:t>aper</w:t>
      </w:r>
      <w:r>
        <w:t>, a brief overview of the risk assessment methodology and the details of the QRA process used for dams in Alberta</w:t>
      </w:r>
      <w:r w:rsidR="007B6665">
        <w:t xml:space="preserve"> and how the outcome of this process applied successfully to improve dam safety management will </w:t>
      </w:r>
      <w:r w:rsidR="00B277C0">
        <w:t>be presented with</w:t>
      </w:r>
      <w:r>
        <w:t xml:space="preserve"> case studies. </w:t>
      </w:r>
      <w:r w:rsidR="00CF7CE2">
        <w:t xml:space="preserve">Lessons learned </w:t>
      </w:r>
      <w:r w:rsidR="00445B51">
        <w:t xml:space="preserve">including technical challenges and limitations of the adopted </w:t>
      </w:r>
      <w:r w:rsidR="00CB6DE9">
        <w:t xml:space="preserve">methods will also be described. </w:t>
      </w:r>
    </w:p>
    <w:p w14:paraId="5476AAF0" w14:textId="66B1299D" w:rsidR="00075975" w:rsidRDefault="00075975" w:rsidP="00075975">
      <w:pPr>
        <w:ind w:left="720" w:hanging="720"/>
        <w:rPr>
          <w:lang w:val="en-US"/>
        </w:rPr>
      </w:pPr>
    </w:p>
    <w:p w14:paraId="057D3BCE" w14:textId="77777777" w:rsidR="009835DA" w:rsidRDefault="009835DA" w:rsidP="00075975">
      <w:pPr>
        <w:ind w:left="720" w:hanging="720"/>
        <w:rPr>
          <w:lang w:val="en-US"/>
        </w:rPr>
      </w:pPr>
    </w:p>
    <w:p w14:paraId="37D4CA42" w14:textId="77777777" w:rsidR="009835DA" w:rsidRDefault="009835DA" w:rsidP="00075975">
      <w:pPr>
        <w:ind w:left="720" w:hanging="720"/>
        <w:rPr>
          <w:lang w:val="en-US"/>
        </w:rPr>
      </w:pPr>
    </w:p>
    <w:p w14:paraId="73E5D24F" w14:textId="77777777" w:rsidR="009835DA" w:rsidRDefault="009835DA" w:rsidP="00075975">
      <w:pPr>
        <w:ind w:left="720" w:hanging="720"/>
        <w:rPr>
          <w:lang w:val="en-US"/>
        </w:rPr>
      </w:pPr>
    </w:p>
    <w:p w14:paraId="786A3E38" w14:textId="77777777" w:rsidR="009835DA" w:rsidRDefault="009835DA" w:rsidP="00075975">
      <w:pPr>
        <w:ind w:left="720" w:hanging="720"/>
        <w:rPr>
          <w:lang w:val="en-US"/>
        </w:rPr>
      </w:pPr>
    </w:p>
    <w:p w14:paraId="5B06F928" w14:textId="77777777" w:rsidR="009835DA" w:rsidRDefault="009835DA" w:rsidP="00075975">
      <w:pPr>
        <w:ind w:left="720" w:hanging="720"/>
        <w:rPr>
          <w:lang w:val="en-US"/>
        </w:rPr>
      </w:pPr>
    </w:p>
    <w:p w14:paraId="229FA3B2" w14:textId="77777777" w:rsidR="009835DA" w:rsidRDefault="009835DA" w:rsidP="00075975">
      <w:pPr>
        <w:ind w:left="720" w:hanging="720"/>
        <w:rPr>
          <w:lang w:val="en-US"/>
        </w:rPr>
      </w:pPr>
    </w:p>
    <w:p w14:paraId="78CF6BED" w14:textId="77777777" w:rsidR="009835DA" w:rsidRDefault="009835DA" w:rsidP="00075975">
      <w:pPr>
        <w:ind w:left="720" w:hanging="720"/>
        <w:rPr>
          <w:lang w:val="en-US"/>
        </w:rPr>
      </w:pPr>
    </w:p>
    <w:p w14:paraId="020D6895" w14:textId="77777777" w:rsidR="009835DA" w:rsidRDefault="009835DA" w:rsidP="00075975">
      <w:pPr>
        <w:ind w:left="720" w:hanging="720"/>
        <w:rPr>
          <w:lang w:val="en-US"/>
        </w:rPr>
      </w:pPr>
    </w:p>
    <w:p w14:paraId="436FE7E8" w14:textId="77777777" w:rsidR="009835DA" w:rsidRDefault="009835DA" w:rsidP="00075975">
      <w:pPr>
        <w:ind w:left="720" w:hanging="720"/>
        <w:rPr>
          <w:lang w:val="en-US"/>
        </w:rPr>
      </w:pPr>
    </w:p>
    <w:p w14:paraId="76393BEE" w14:textId="77777777" w:rsidR="009835DA" w:rsidRDefault="009835DA" w:rsidP="00075975">
      <w:pPr>
        <w:ind w:left="720" w:hanging="720"/>
        <w:rPr>
          <w:lang w:val="en-US"/>
        </w:rPr>
      </w:pPr>
    </w:p>
    <w:p w14:paraId="4D7D2148" w14:textId="77777777" w:rsidR="009835DA" w:rsidRDefault="009835DA" w:rsidP="00075975">
      <w:pPr>
        <w:ind w:left="720" w:hanging="720"/>
        <w:rPr>
          <w:lang w:val="en-US"/>
        </w:rPr>
      </w:pPr>
    </w:p>
    <w:p w14:paraId="4B861498" w14:textId="77777777" w:rsidR="009835DA" w:rsidRDefault="009835DA" w:rsidP="00075975">
      <w:pPr>
        <w:ind w:left="720" w:hanging="720"/>
        <w:rPr>
          <w:lang w:val="en-US"/>
        </w:rPr>
      </w:pPr>
    </w:p>
    <w:p w14:paraId="770CD551" w14:textId="77777777" w:rsidR="009835DA" w:rsidRDefault="009835DA" w:rsidP="00075975">
      <w:pPr>
        <w:ind w:left="720" w:hanging="720"/>
        <w:rPr>
          <w:lang w:val="en-US"/>
        </w:rPr>
      </w:pPr>
    </w:p>
    <w:p w14:paraId="4387A3F4" w14:textId="77777777" w:rsidR="009835DA" w:rsidRPr="009835DA" w:rsidRDefault="009835DA" w:rsidP="009835DA">
      <w:pPr>
        <w:jc w:val="center"/>
        <w:rPr>
          <w:b/>
          <w:bCs/>
        </w:rPr>
      </w:pPr>
      <w:r w:rsidRPr="009835DA">
        <w:rPr>
          <w:b/>
          <w:bCs/>
        </w:rPr>
        <w:lastRenderedPageBreak/>
        <w:t>Aplicación de la Evaluación Cuantitativa de Riesgos para la Gestión de la Seguridad de Presas</w:t>
      </w:r>
    </w:p>
    <w:p w14:paraId="45A9A500" w14:textId="77777777" w:rsidR="009835DA" w:rsidRPr="009835DA" w:rsidRDefault="009835DA" w:rsidP="009835DA">
      <w:pPr>
        <w:ind w:left="720" w:hanging="720"/>
        <w:rPr>
          <w:b/>
          <w:bCs/>
          <w:lang w:val="es-ES"/>
        </w:rPr>
      </w:pPr>
      <w:r w:rsidRPr="009835DA">
        <w:rPr>
          <w:b/>
          <w:bCs/>
          <w:lang w:val="es-ES"/>
        </w:rPr>
        <w:t>Resumen:</w:t>
      </w:r>
    </w:p>
    <w:p w14:paraId="05420AA2" w14:textId="77777777" w:rsidR="00CF0E64" w:rsidRDefault="009835DA" w:rsidP="009835DA">
      <w:pPr>
        <w:rPr>
          <w:lang w:val="es-ES"/>
        </w:rPr>
      </w:pPr>
      <w:r w:rsidRPr="009835DA">
        <w:rPr>
          <w:lang w:val="es-ES"/>
        </w:rPr>
        <w:t xml:space="preserve">Muchos grandes propietarios de presas y organismos reguladores de todo el mundo han reconocido que las metodologías de toma de decisiones basadas en el riesgo son un componente importante de las mejores prácticas en la gestión de la seguridad de presas. Alberta </w:t>
      </w:r>
      <w:proofErr w:type="spellStart"/>
      <w:r w:rsidRPr="009835DA">
        <w:rPr>
          <w:lang w:val="es-ES"/>
        </w:rPr>
        <w:t>Agriculture</w:t>
      </w:r>
      <w:proofErr w:type="spellEnd"/>
      <w:r w:rsidRPr="009835DA">
        <w:rPr>
          <w:lang w:val="es-ES"/>
        </w:rPr>
        <w:t xml:space="preserve"> and </w:t>
      </w:r>
      <w:proofErr w:type="spellStart"/>
      <w:r w:rsidRPr="009835DA">
        <w:rPr>
          <w:lang w:val="es-ES"/>
        </w:rPr>
        <w:t>Irrigation</w:t>
      </w:r>
      <w:proofErr w:type="spellEnd"/>
      <w:r w:rsidRPr="009835DA">
        <w:rPr>
          <w:lang w:val="es-ES"/>
        </w:rPr>
        <w:t xml:space="preserve"> (AGI), principal propietario de presas en la provincia de Alberta, Canadá, utiliza una metodología semicuantitativa de Análisis de Modos de Falla Potencial y Efectos (PFMEA) para la identificación y priorización de los riesgos de seguridad de presas. Para determinados modos de fallo clave, esta metodología se complementa con una Evaluación Cuantitativa de Riesgos (QRA). Estos dos enfoques sientan las bases para la toma de decisiones basada en el riesgo de AGI para la seguridad de presas. El QRA es el nivel más alto de análisis de riesgos para la seguridad de presas. Ayuda a los propietarios de presas a priorizar el uso de modelos y métodos de ingeniería y a emplear la interacción estructurada entre expertos para lograr un análisis de riesgos bien documentado que capture la gama de interpretaciones técnicamente defendibles de los datos, modelos y métodos utilizados en el análisis de riesgos. </w:t>
      </w:r>
    </w:p>
    <w:p w14:paraId="182BD748" w14:textId="538A8CA2" w:rsidR="009835DA" w:rsidRPr="009835DA" w:rsidRDefault="009835DA" w:rsidP="009835DA">
      <w:pPr>
        <w:rPr>
          <w:lang w:val="pt-BR"/>
        </w:rPr>
      </w:pPr>
      <w:r w:rsidRPr="009835DA">
        <w:rPr>
          <w:lang w:val="es-ES"/>
        </w:rPr>
        <w:t>En este documento, se presenta una breve descripción general de la metodología de evaluación de riesgos y los detalles del proceso de evaluación de riesgos de represas (ARC) utilizado en represas en Alberta, y cómo los resultados de este proceso se aplicaron con éxito para mejorar la gestión de la seguridad de las represas, mediante estudios de caso. También se describen las lecciones aprendidas, incluyendo los desafíos técnicos y las limitaciones de los métodos adoptados.</w:t>
      </w:r>
    </w:p>
    <w:p w14:paraId="669829C3" w14:textId="77777777" w:rsidR="008016CE" w:rsidRPr="009835DA" w:rsidRDefault="008016CE" w:rsidP="009835DA">
      <w:pPr>
        <w:rPr>
          <w:lang w:val="es-ES"/>
        </w:rPr>
      </w:pPr>
    </w:p>
    <w:sectPr w:rsidR="008016CE" w:rsidRPr="009835D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975"/>
    <w:rsid w:val="00075975"/>
    <w:rsid w:val="00231672"/>
    <w:rsid w:val="00445B51"/>
    <w:rsid w:val="00517ADC"/>
    <w:rsid w:val="005D1631"/>
    <w:rsid w:val="005E61E0"/>
    <w:rsid w:val="00714E6D"/>
    <w:rsid w:val="007B6665"/>
    <w:rsid w:val="008016CE"/>
    <w:rsid w:val="008B3C0C"/>
    <w:rsid w:val="009835DA"/>
    <w:rsid w:val="00A62C5F"/>
    <w:rsid w:val="00AF1509"/>
    <w:rsid w:val="00B277C0"/>
    <w:rsid w:val="00C064C5"/>
    <w:rsid w:val="00C8130D"/>
    <w:rsid w:val="00CB6DE9"/>
    <w:rsid w:val="00CF0E64"/>
    <w:rsid w:val="00CF7CE2"/>
    <w:rsid w:val="00D41452"/>
    <w:rsid w:val="00D556E5"/>
    <w:rsid w:val="00E469A7"/>
  </w:rsids>
  <m:mathPr>
    <m:mathFont m:val="Cambria Math"/>
    <m:brkBin m:val="before"/>
    <m:brkBinSub m:val="--"/>
    <m:smallFrac m:val="0"/>
    <m:dispDef/>
    <m:lMargin m:val="0"/>
    <m:rMargin m:val="0"/>
    <m:defJc m:val="centerGroup"/>
    <m:wrapIndent m:val="1440"/>
    <m:intLim m:val="subSup"/>
    <m:naryLim m:val="undOvr"/>
  </m:mathPr>
  <w:themeFontLang w:val="en-CA"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03E16"/>
  <w15:chartTrackingRefBased/>
  <w15:docId w15:val="{FCAB9A00-C70C-4186-B86E-FF34988E3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en-CA" w:eastAsia="en-US" w:bidi="bn-BD"/>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Vrinda"/>
    </w:rPr>
  </w:style>
  <w:style w:type="paragraph" w:styleId="Heading1">
    <w:name w:val="heading 1"/>
    <w:basedOn w:val="Normal"/>
    <w:next w:val="Normal"/>
    <w:link w:val="Heading1Char"/>
    <w:uiPriority w:val="9"/>
    <w:qFormat/>
    <w:rsid w:val="00075975"/>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075975"/>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075975"/>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0759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759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759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59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59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59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5975"/>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075975"/>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075975"/>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0759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59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59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59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59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5975"/>
    <w:rPr>
      <w:rFonts w:eastAsiaTheme="majorEastAsia" w:cstheme="majorBidi"/>
      <w:color w:val="272727" w:themeColor="text1" w:themeTint="D8"/>
    </w:rPr>
  </w:style>
  <w:style w:type="paragraph" w:styleId="Title">
    <w:name w:val="Title"/>
    <w:basedOn w:val="Normal"/>
    <w:next w:val="Normal"/>
    <w:link w:val="TitleChar"/>
    <w:uiPriority w:val="10"/>
    <w:qFormat/>
    <w:rsid w:val="00075975"/>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075975"/>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075975"/>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075975"/>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075975"/>
    <w:pPr>
      <w:spacing w:before="160"/>
      <w:jc w:val="center"/>
    </w:pPr>
    <w:rPr>
      <w:i/>
      <w:iCs/>
      <w:color w:val="404040" w:themeColor="text1" w:themeTint="BF"/>
    </w:rPr>
  </w:style>
  <w:style w:type="character" w:customStyle="1" w:styleId="QuoteChar">
    <w:name w:val="Quote Char"/>
    <w:basedOn w:val="DefaultParagraphFont"/>
    <w:link w:val="Quote"/>
    <w:uiPriority w:val="29"/>
    <w:rsid w:val="00075975"/>
    <w:rPr>
      <w:rFonts w:cs="Vrinda"/>
      <w:i/>
      <w:iCs/>
      <w:color w:val="404040" w:themeColor="text1" w:themeTint="BF"/>
    </w:rPr>
  </w:style>
  <w:style w:type="paragraph" w:styleId="ListParagraph">
    <w:name w:val="List Paragraph"/>
    <w:basedOn w:val="Normal"/>
    <w:uiPriority w:val="34"/>
    <w:qFormat/>
    <w:rsid w:val="00075975"/>
    <w:pPr>
      <w:ind w:left="720"/>
      <w:contextualSpacing/>
    </w:pPr>
  </w:style>
  <w:style w:type="character" w:styleId="IntenseEmphasis">
    <w:name w:val="Intense Emphasis"/>
    <w:basedOn w:val="DefaultParagraphFont"/>
    <w:uiPriority w:val="21"/>
    <w:qFormat/>
    <w:rsid w:val="00075975"/>
    <w:rPr>
      <w:i/>
      <w:iCs/>
      <w:color w:val="0F4761" w:themeColor="accent1" w:themeShade="BF"/>
    </w:rPr>
  </w:style>
  <w:style w:type="paragraph" w:styleId="IntenseQuote">
    <w:name w:val="Intense Quote"/>
    <w:basedOn w:val="Normal"/>
    <w:next w:val="Normal"/>
    <w:link w:val="IntenseQuoteChar"/>
    <w:uiPriority w:val="30"/>
    <w:qFormat/>
    <w:rsid w:val="000759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75975"/>
    <w:rPr>
      <w:rFonts w:cs="Vrinda"/>
      <w:i/>
      <w:iCs/>
      <w:color w:val="0F4761" w:themeColor="accent1" w:themeShade="BF"/>
    </w:rPr>
  </w:style>
  <w:style w:type="character" w:styleId="IntenseReference">
    <w:name w:val="Intense Reference"/>
    <w:basedOn w:val="DefaultParagraphFont"/>
    <w:uiPriority w:val="32"/>
    <w:qFormat/>
    <w:rsid w:val="00075975"/>
    <w:rPr>
      <w:b/>
      <w:bCs/>
      <w:smallCaps/>
      <w:color w:val="0F4761" w:themeColor="accent1" w:themeShade="BF"/>
      <w:spacing w:val="5"/>
    </w:rPr>
  </w:style>
  <w:style w:type="paragraph" w:customStyle="1" w:styleId="TxTextindent">
    <w:name w:val="Tx Text (indent)"/>
    <w:basedOn w:val="Normal"/>
    <w:qFormat/>
    <w:rsid w:val="00075975"/>
    <w:pPr>
      <w:spacing w:after="280" w:line="280" w:lineRule="exact"/>
      <w:ind w:firstLine="567"/>
      <w:jc w:val="both"/>
    </w:pPr>
    <w:rPr>
      <w:rFonts w:ascii="Arial" w:eastAsia="Times New Roman" w:hAnsi="Arial" w:cs="Times New Roman"/>
      <w:kern w:val="0"/>
      <w:sz w:val="22"/>
      <w:szCs w:val="22"/>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39471">
      <w:bodyDiv w:val="1"/>
      <w:marLeft w:val="0"/>
      <w:marRight w:val="0"/>
      <w:marTop w:val="0"/>
      <w:marBottom w:val="0"/>
      <w:divBdr>
        <w:top w:val="none" w:sz="0" w:space="0" w:color="auto"/>
        <w:left w:val="none" w:sz="0" w:space="0" w:color="auto"/>
        <w:bottom w:val="none" w:sz="0" w:space="0" w:color="auto"/>
        <w:right w:val="none" w:sz="0" w:space="0" w:color="auto"/>
      </w:divBdr>
    </w:div>
    <w:div w:id="840200661">
      <w:bodyDiv w:val="1"/>
      <w:marLeft w:val="0"/>
      <w:marRight w:val="0"/>
      <w:marTop w:val="0"/>
      <w:marBottom w:val="0"/>
      <w:divBdr>
        <w:top w:val="none" w:sz="0" w:space="0" w:color="auto"/>
        <w:left w:val="none" w:sz="0" w:space="0" w:color="auto"/>
        <w:bottom w:val="none" w:sz="0" w:space="0" w:color="auto"/>
        <w:right w:val="none" w:sz="0" w:space="0" w:color="auto"/>
      </w:divBdr>
    </w:div>
    <w:div w:id="923996696">
      <w:bodyDiv w:val="1"/>
      <w:marLeft w:val="0"/>
      <w:marRight w:val="0"/>
      <w:marTop w:val="0"/>
      <w:marBottom w:val="0"/>
      <w:divBdr>
        <w:top w:val="none" w:sz="0" w:space="0" w:color="auto"/>
        <w:left w:val="none" w:sz="0" w:space="0" w:color="auto"/>
        <w:bottom w:val="none" w:sz="0" w:space="0" w:color="auto"/>
        <w:right w:val="none" w:sz="0" w:space="0" w:color="auto"/>
      </w:divBdr>
    </w:div>
    <w:div w:id="129375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495</Words>
  <Characters>2716</Characters>
  <Application>Microsoft Office Word</Application>
  <DocSecurity>0</DocSecurity>
  <Lines>54</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AlMamun, Mamun</dc:creator>
  <cp:keywords/>
  <dc:description/>
  <cp:lastModifiedBy>AlMamun, Mamun</cp:lastModifiedBy>
  <cp:revision>14</cp:revision>
  <dcterms:created xsi:type="dcterms:W3CDTF">2024-12-30T20:29:00Z</dcterms:created>
  <dcterms:modified xsi:type="dcterms:W3CDTF">2025-10-16T19:52:00Z</dcterms:modified>
</cp:coreProperties>
</file>